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67CFE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/>
          <w:sz w:val="44"/>
          <w:szCs w:val="44"/>
        </w:rPr>
        <w:t>日照市</w:t>
      </w:r>
      <w:r>
        <w:rPr>
          <w:rFonts w:ascii="Times New Roman" w:eastAsia="方正小标宋简体" w:hAnsi="Times New Roman"/>
          <w:sz w:val="44"/>
          <w:szCs w:val="44"/>
        </w:rPr>
        <w:t>本</w:t>
      </w:r>
      <w:r>
        <w:rPr>
          <w:rFonts w:ascii="Times New Roman" w:eastAsia="方正小标宋简体" w:hAnsi="Times New Roman"/>
          <w:sz w:val="44"/>
          <w:szCs w:val="44"/>
        </w:rPr>
        <w:t>级</w:t>
      </w:r>
      <w:r>
        <w:rPr>
          <w:rFonts w:ascii="Times New Roman" w:eastAsia="方正小标宋简体" w:hAnsi="Times New Roman"/>
          <w:sz w:val="44"/>
          <w:szCs w:val="44"/>
        </w:rPr>
        <w:t>单建人防工程</w:t>
      </w:r>
      <w:r>
        <w:rPr>
          <w:rFonts w:ascii="Times New Roman" w:eastAsia="方正小标宋简体" w:hAnsi="Times New Roman"/>
          <w:sz w:val="44"/>
          <w:szCs w:val="44"/>
        </w:rPr>
        <w:t>使用管理办法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00000" w:rsidRDefault="00E67CFE">
      <w:pPr>
        <w:pStyle w:val="HTML"/>
        <w:widowControl/>
        <w:spacing w:line="580" w:lineRule="exact"/>
        <w:ind w:firstLineChars="200" w:firstLine="640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Times New Roman" w:eastAsia="仿宋_GB2312" w:hAnsi="Times New Roman" w:hint="default"/>
          <w:sz w:val="32"/>
          <w:szCs w:val="32"/>
        </w:rPr>
        <w:t>第一条</w:t>
      </w:r>
      <w:r>
        <w:rPr>
          <w:rFonts w:ascii="Times New Roman" w:eastAsia="仿宋_GB2312" w:hAnsi="Times New Roman" w:hint="default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default"/>
          <w:sz w:val="32"/>
          <w:szCs w:val="32"/>
        </w:rPr>
        <w:t>为加强市</w:t>
      </w:r>
      <w:r>
        <w:rPr>
          <w:rFonts w:ascii="Times New Roman" w:eastAsia="仿宋_GB2312" w:hAnsi="Times New Roman" w:hint="default"/>
          <w:sz w:val="32"/>
          <w:szCs w:val="32"/>
        </w:rPr>
        <w:t>本</w:t>
      </w:r>
      <w:r>
        <w:rPr>
          <w:rFonts w:ascii="Times New Roman" w:eastAsia="仿宋_GB2312" w:hAnsi="Times New Roman" w:hint="default"/>
          <w:sz w:val="32"/>
          <w:szCs w:val="32"/>
        </w:rPr>
        <w:t>级</w:t>
      </w:r>
      <w:r>
        <w:rPr>
          <w:rFonts w:ascii="Times New Roman" w:eastAsia="仿宋_GB2312" w:hAnsi="Times New Roman" w:hint="default"/>
          <w:sz w:val="32"/>
          <w:szCs w:val="32"/>
        </w:rPr>
        <w:t>单建人防工程</w:t>
      </w:r>
      <w:r>
        <w:rPr>
          <w:rFonts w:ascii="Times New Roman" w:eastAsia="仿宋_GB2312" w:hAnsi="Times New Roman" w:hint="default"/>
          <w:sz w:val="32"/>
          <w:szCs w:val="32"/>
        </w:rPr>
        <w:t>资产管理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default"/>
          <w:sz w:val="32"/>
          <w:szCs w:val="32"/>
        </w:rPr>
        <w:t>规范</w:t>
      </w:r>
      <w:r>
        <w:rPr>
          <w:rFonts w:ascii="Times New Roman" w:eastAsia="仿宋_GB2312" w:hAnsi="Times New Roman" w:hint="default"/>
          <w:sz w:val="32"/>
          <w:szCs w:val="32"/>
        </w:rPr>
        <w:t>单建人防工程</w:t>
      </w:r>
      <w:r>
        <w:rPr>
          <w:rFonts w:ascii="Times New Roman" w:eastAsia="仿宋_GB2312" w:hAnsi="Times New Roman" w:hint="default"/>
          <w:sz w:val="32"/>
          <w:szCs w:val="32"/>
        </w:rPr>
        <w:t>使用行为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default"/>
          <w:sz w:val="32"/>
          <w:szCs w:val="32"/>
        </w:rPr>
        <w:t>实现国有</w:t>
      </w:r>
      <w:r>
        <w:rPr>
          <w:rFonts w:ascii="Times New Roman" w:eastAsia="仿宋_GB2312" w:hAnsi="Times New Roman" w:hint="default"/>
          <w:sz w:val="32"/>
          <w:szCs w:val="32"/>
        </w:rPr>
        <w:t>战备</w:t>
      </w:r>
      <w:r>
        <w:rPr>
          <w:rFonts w:ascii="Times New Roman" w:eastAsia="仿宋_GB2312" w:hAnsi="Times New Roman" w:hint="default"/>
          <w:sz w:val="32"/>
          <w:szCs w:val="32"/>
        </w:rPr>
        <w:t>资产保值增值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default"/>
          <w:sz w:val="32"/>
          <w:szCs w:val="32"/>
        </w:rPr>
        <w:t>根据《</w:t>
      </w:r>
      <w:r>
        <w:rPr>
          <w:rFonts w:ascii="Times New Roman" w:eastAsia="仿宋_GB2312" w:hAnsi="Times New Roman" w:hint="default"/>
          <w:sz w:val="32"/>
          <w:szCs w:val="32"/>
        </w:rPr>
        <w:t>人民防空工程平时开发利用管理</w:t>
      </w:r>
      <w:r>
        <w:rPr>
          <w:rFonts w:ascii="Times New Roman" w:eastAsia="仿宋_GB2312" w:hAnsi="Times New Roman" w:hint="default"/>
          <w:sz w:val="32"/>
          <w:szCs w:val="32"/>
        </w:rPr>
        <w:t>办法》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default"/>
          <w:sz w:val="32"/>
          <w:szCs w:val="32"/>
        </w:rPr>
        <w:t>国人防办字〔</w:t>
      </w:r>
      <w:r>
        <w:rPr>
          <w:rFonts w:ascii="Times New Roman" w:eastAsia="仿宋_GB2312" w:hAnsi="Times New Roman" w:hint="default"/>
          <w:sz w:val="32"/>
          <w:szCs w:val="32"/>
        </w:rPr>
        <w:t>2001</w:t>
      </w:r>
      <w:r>
        <w:rPr>
          <w:rFonts w:ascii="Times New Roman" w:eastAsia="仿宋_GB2312" w:hAnsi="Times New Roman" w:hint="default"/>
          <w:sz w:val="32"/>
          <w:szCs w:val="32"/>
        </w:rPr>
        <w:t>〕第</w:t>
      </w:r>
      <w:r>
        <w:rPr>
          <w:rFonts w:ascii="Times New Roman" w:eastAsia="仿宋_GB2312" w:hAnsi="Times New Roman" w:hint="default"/>
          <w:sz w:val="32"/>
          <w:szCs w:val="32"/>
        </w:rPr>
        <w:t>211</w:t>
      </w:r>
      <w:r>
        <w:rPr>
          <w:rFonts w:ascii="Times New Roman" w:eastAsia="仿宋_GB2312" w:hAnsi="Times New Roman" w:hint="default"/>
          <w:sz w:val="32"/>
          <w:szCs w:val="32"/>
        </w:rPr>
        <w:t>号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default"/>
          <w:sz w:val="32"/>
          <w:szCs w:val="32"/>
        </w:rPr>
        <w:t>、《山东省人民防空国有战备固定资产管理暂行办法》（</w:t>
      </w:r>
      <w:r>
        <w:rPr>
          <w:rFonts w:ascii="Times New Roman" w:eastAsia="仿宋_GB2312" w:hAnsi="Times New Roman" w:hint="default"/>
          <w:sz w:val="32"/>
          <w:szCs w:val="32"/>
        </w:rPr>
        <w:t>鲁防发〔</w:t>
      </w:r>
      <w:r>
        <w:rPr>
          <w:rFonts w:ascii="Times New Roman" w:eastAsia="仿宋_GB2312" w:hAnsi="Times New Roman" w:hint="default"/>
          <w:sz w:val="32"/>
          <w:szCs w:val="32"/>
        </w:rPr>
        <w:t>2009</w:t>
      </w:r>
      <w:r>
        <w:rPr>
          <w:rFonts w:ascii="Times New Roman" w:eastAsia="仿宋_GB2312" w:hAnsi="Times New Roman" w:hint="default"/>
          <w:sz w:val="32"/>
          <w:szCs w:val="32"/>
        </w:rPr>
        <w:t>〕</w:t>
      </w:r>
      <w:r>
        <w:rPr>
          <w:rFonts w:ascii="Times New Roman" w:eastAsia="仿宋_GB2312" w:hAnsi="Times New Roman" w:hint="default"/>
          <w:sz w:val="32"/>
          <w:szCs w:val="32"/>
        </w:rPr>
        <w:t>2</w:t>
      </w:r>
      <w:r>
        <w:rPr>
          <w:rFonts w:ascii="Times New Roman" w:eastAsia="仿宋_GB2312" w:hAnsi="Times New Roman" w:hint="default"/>
          <w:sz w:val="32"/>
          <w:szCs w:val="32"/>
        </w:rPr>
        <w:t>号</w:t>
      </w:r>
      <w:r>
        <w:rPr>
          <w:rFonts w:ascii="Times New Roman" w:eastAsia="仿宋_GB2312" w:hAnsi="Times New Roman" w:hint="default"/>
          <w:sz w:val="32"/>
          <w:szCs w:val="32"/>
        </w:rPr>
        <w:t>）、《日照市市级行政事业单位国有资产有偿使用管理办法》（日政办发〔</w:t>
      </w:r>
      <w:r>
        <w:rPr>
          <w:rFonts w:ascii="Times New Roman" w:eastAsia="仿宋_GB2312" w:hAnsi="Times New Roman" w:hint="default"/>
          <w:sz w:val="32"/>
          <w:szCs w:val="32"/>
        </w:rPr>
        <w:t>2022</w:t>
      </w:r>
      <w:r>
        <w:rPr>
          <w:rFonts w:ascii="Times New Roman" w:eastAsia="仿宋_GB2312" w:hAnsi="Times New Roman" w:hint="default"/>
          <w:sz w:val="32"/>
          <w:szCs w:val="32"/>
        </w:rPr>
        <w:t>〕</w:t>
      </w:r>
      <w:r>
        <w:rPr>
          <w:rFonts w:ascii="Times New Roman" w:eastAsia="仿宋_GB2312" w:hAnsi="Times New Roman" w:hint="default"/>
          <w:sz w:val="32"/>
          <w:szCs w:val="32"/>
        </w:rPr>
        <w:t xml:space="preserve">7 </w:t>
      </w:r>
      <w:r>
        <w:rPr>
          <w:rFonts w:ascii="Times New Roman" w:eastAsia="仿宋_GB2312" w:hAnsi="Times New Roman" w:hint="default"/>
          <w:sz w:val="32"/>
          <w:szCs w:val="32"/>
        </w:rPr>
        <w:t>号）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default"/>
          <w:sz w:val="32"/>
          <w:szCs w:val="32"/>
        </w:rPr>
        <w:t>结合我市实际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default"/>
          <w:sz w:val="32"/>
          <w:szCs w:val="32"/>
        </w:rPr>
        <w:t>制定本办法。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本办法适用于</w:t>
      </w:r>
      <w:r>
        <w:rPr>
          <w:rFonts w:ascii="Times New Roman" w:eastAsia="仿宋_GB2312" w:hAnsi="Times New Roman"/>
          <w:sz w:val="32"/>
          <w:szCs w:val="32"/>
        </w:rPr>
        <w:t>市本级单建人防工程</w:t>
      </w:r>
      <w:r>
        <w:rPr>
          <w:rFonts w:ascii="Times New Roman" w:eastAsia="仿宋_GB2312" w:hAnsi="Times New Roman"/>
          <w:sz w:val="32"/>
          <w:szCs w:val="32"/>
        </w:rPr>
        <w:t>使用管理。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第三条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本办法所称的</w:t>
      </w:r>
      <w:r>
        <w:rPr>
          <w:rFonts w:ascii="Times New Roman" w:eastAsia="仿宋_GB2312" w:hAnsi="Times New Roman"/>
          <w:sz w:val="32"/>
          <w:szCs w:val="32"/>
        </w:rPr>
        <w:t>单建人防工程</w:t>
      </w:r>
      <w:r>
        <w:rPr>
          <w:rFonts w:ascii="Times New Roman" w:eastAsia="仿宋_GB2312" w:hAnsi="Times New Roman"/>
          <w:sz w:val="32"/>
          <w:szCs w:val="32"/>
        </w:rPr>
        <w:t>使用是指在确保</w:t>
      </w:r>
      <w:r>
        <w:rPr>
          <w:rFonts w:ascii="Times New Roman" w:eastAsia="仿宋_GB2312" w:hAnsi="Times New Roman"/>
          <w:sz w:val="32"/>
          <w:szCs w:val="32"/>
        </w:rPr>
        <w:t>单建人防工程</w:t>
      </w:r>
      <w:r>
        <w:rPr>
          <w:rFonts w:ascii="Times New Roman" w:eastAsia="仿宋_GB2312" w:hAnsi="Times New Roman"/>
          <w:sz w:val="32"/>
          <w:szCs w:val="32"/>
        </w:rPr>
        <w:t>正常</w:t>
      </w:r>
      <w:r>
        <w:rPr>
          <w:rFonts w:ascii="Times New Roman" w:eastAsia="仿宋_GB2312" w:hAnsi="Times New Roman"/>
          <w:sz w:val="32"/>
          <w:szCs w:val="32"/>
        </w:rPr>
        <w:t>履行职能和事业发展的前提下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以充分发挥</w:t>
      </w:r>
      <w:r>
        <w:rPr>
          <w:rFonts w:ascii="Times New Roman" w:eastAsia="仿宋_GB2312" w:hAnsi="Times New Roman"/>
          <w:sz w:val="32"/>
          <w:szCs w:val="32"/>
        </w:rPr>
        <w:t>单建人防工程</w:t>
      </w:r>
      <w:r>
        <w:rPr>
          <w:rFonts w:ascii="Times New Roman" w:eastAsia="仿宋_GB2312" w:hAnsi="Times New Roman"/>
          <w:sz w:val="32"/>
          <w:szCs w:val="32"/>
        </w:rPr>
        <w:t>最大效益为目的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按照国家有关规定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将</w:t>
      </w:r>
      <w:r>
        <w:rPr>
          <w:rFonts w:ascii="Times New Roman" w:eastAsia="仿宋_GB2312" w:hAnsi="Times New Roman"/>
          <w:sz w:val="32"/>
          <w:szCs w:val="32"/>
        </w:rPr>
        <w:t>单建人防工程</w:t>
      </w:r>
      <w:r>
        <w:rPr>
          <w:rFonts w:ascii="Times New Roman" w:eastAsia="仿宋_GB2312" w:hAnsi="Times New Roman"/>
          <w:sz w:val="32"/>
          <w:szCs w:val="32"/>
        </w:rPr>
        <w:t>用于生产经营活动或将使用权在一定期限内让渡给他人的经济行为。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</w:t>
      </w:r>
      <w:r>
        <w:rPr>
          <w:rFonts w:ascii="Times New Roman" w:eastAsia="仿宋_GB2312" w:hAnsi="Times New Roman"/>
          <w:sz w:val="32"/>
          <w:szCs w:val="32"/>
        </w:rPr>
        <w:t>四</w:t>
      </w:r>
      <w:r>
        <w:rPr>
          <w:rFonts w:ascii="Times New Roman" w:eastAsia="仿宋_GB2312" w:hAnsi="Times New Roman"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单建人防工程平时开发利用应当坚持有偿使用、用管结合的原则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单建人防工程</w:t>
      </w:r>
      <w:r>
        <w:rPr>
          <w:rFonts w:ascii="Times New Roman" w:eastAsia="仿宋_GB2312" w:hAnsi="Times New Roman"/>
          <w:sz w:val="32"/>
          <w:szCs w:val="32"/>
        </w:rPr>
        <w:t>有偿使用</w:t>
      </w:r>
      <w:r>
        <w:rPr>
          <w:rFonts w:ascii="Times New Roman" w:eastAsia="仿宋_GB2312" w:hAnsi="Times New Roman"/>
          <w:sz w:val="32"/>
          <w:szCs w:val="32"/>
        </w:rPr>
        <w:t>，其国家所有的性质不变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</w:t>
      </w:r>
      <w:r>
        <w:rPr>
          <w:rFonts w:ascii="Times New Roman" w:eastAsia="仿宋_GB2312" w:hAnsi="Times New Roman"/>
          <w:sz w:val="32"/>
          <w:szCs w:val="32"/>
        </w:rPr>
        <w:t>五</w:t>
      </w:r>
      <w:r>
        <w:rPr>
          <w:rFonts w:ascii="Times New Roman" w:eastAsia="仿宋_GB2312" w:hAnsi="Times New Roman"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使用单建人防工程</w:t>
      </w:r>
      <w:r>
        <w:rPr>
          <w:rFonts w:ascii="Times New Roman" w:eastAsia="仿宋_GB2312" w:hAnsi="Times New Roman"/>
          <w:sz w:val="32"/>
          <w:szCs w:val="32"/>
        </w:rPr>
        <w:t>必须事先报</w:t>
      </w:r>
      <w:r>
        <w:rPr>
          <w:rFonts w:ascii="Times New Roman" w:eastAsia="仿宋_GB2312" w:hAnsi="Times New Roman"/>
          <w:sz w:val="32"/>
          <w:szCs w:val="32"/>
        </w:rPr>
        <w:t>办党组研究</w:t>
      </w:r>
      <w:r>
        <w:rPr>
          <w:rFonts w:ascii="Times New Roman" w:eastAsia="仿宋_GB2312" w:hAnsi="Times New Roman"/>
          <w:sz w:val="32"/>
          <w:szCs w:val="32"/>
        </w:rPr>
        <w:t>，并报同级财政部门备案。未经批准，不得对外出租出借。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第六条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单建人防工程使用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执行《</w:t>
      </w:r>
      <w:r>
        <w:rPr>
          <w:rFonts w:ascii="Times New Roman" w:eastAsia="仿宋_GB2312" w:hAnsi="Times New Roman"/>
          <w:sz w:val="32"/>
          <w:szCs w:val="32"/>
        </w:rPr>
        <w:t>人防工程使用负面清单</w:t>
      </w:r>
      <w:r>
        <w:rPr>
          <w:rFonts w:ascii="Times New Roman" w:eastAsia="仿宋_GB2312" w:hAnsi="Times New Roman"/>
          <w:sz w:val="32"/>
          <w:szCs w:val="32"/>
        </w:rPr>
        <w:t>》（详情见</w:t>
      </w: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第七条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除国家另有规定外，使用单建人防工程应当按照国家有关</w:t>
      </w:r>
      <w:r>
        <w:rPr>
          <w:rFonts w:ascii="Times New Roman" w:eastAsia="仿宋_GB2312" w:hAnsi="Times New Roman"/>
          <w:sz w:val="32"/>
          <w:szCs w:val="32"/>
        </w:rPr>
        <w:t>规定委托招标确定相应资质的中介机构进行资产评估。中介机构出具的评估价格是公开交易的标底价。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第八条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单建人防工程</w:t>
      </w:r>
      <w:r>
        <w:rPr>
          <w:rFonts w:ascii="Times New Roman" w:eastAsia="仿宋_GB2312" w:hAnsi="Times New Roman"/>
          <w:sz w:val="32"/>
          <w:szCs w:val="32"/>
        </w:rPr>
        <w:t>使用应当遵循公开、公正、公平的原则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进入公共资源交易平台进行公开交易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因特殊情况不适宜公开交易的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经批准后可进行协议有偿使用</w:t>
      </w:r>
      <w:r>
        <w:rPr>
          <w:rFonts w:ascii="Times New Roman" w:eastAsia="仿宋_GB2312" w:hAnsi="Times New Roman"/>
          <w:sz w:val="32"/>
          <w:szCs w:val="32"/>
        </w:rPr>
        <w:t>，其交易价格不得低于中介机构出具的评估标底价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</w:t>
      </w:r>
      <w:r>
        <w:rPr>
          <w:rFonts w:ascii="Times New Roman" w:eastAsia="仿宋_GB2312" w:hAnsi="Times New Roman"/>
          <w:sz w:val="32"/>
          <w:szCs w:val="32"/>
        </w:rPr>
        <w:t>九</w:t>
      </w:r>
      <w:r>
        <w:rPr>
          <w:rFonts w:ascii="Times New Roman" w:eastAsia="仿宋_GB2312" w:hAnsi="Times New Roman"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凭批复文件、资产评估核准结果等相关资料通过公共资源交易平台进行公开招租。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第十条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经核准的资产评估结果是有偿使用国有资产作价的依据。当交易价格低于标底价时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须暂停交易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按原渠道报经财政部门重新审批后继续进行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未经重</w:t>
      </w:r>
      <w:r>
        <w:rPr>
          <w:rFonts w:ascii="Times New Roman" w:eastAsia="仿宋_GB2312" w:hAnsi="Times New Roman"/>
          <w:sz w:val="32"/>
          <w:szCs w:val="32"/>
        </w:rPr>
        <w:t>新审批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不得擅自降低资产交易标底价。财政部门最多可两次批准下调交易标底价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每次下调幅度不超过评估标底价的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Times New Roman" w:eastAsia="仿宋_GB2312" w:hAnsi="Times New Roman"/>
          <w:sz w:val="32"/>
          <w:szCs w:val="32"/>
        </w:rPr>
        <w:t>。如两次下调价格后仍无法拍出的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需重新进行资产评估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并以新的评估结果作为交易标底价。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第十一条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租赁使用人民防空工程实行合同管理制度。应当依法与承租单位签订书面合同，合同参照国家颁发的《人民防空工程租赁使用合同》示范文本（附件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第十二条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单建人防工程对外租赁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原则上不允许承租方转租。确因特殊情况需要转租的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应当由承租方提出书面申请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报主管部门同意后方可转租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第</w:t>
      </w:r>
      <w:r>
        <w:rPr>
          <w:rFonts w:ascii="Times New Roman" w:eastAsia="仿宋_GB2312" w:hAnsi="Times New Roman"/>
          <w:sz w:val="32"/>
          <w:szCs w:val="32"/>
        </w:rPr>
        <w:t>十三</w:t>
      </w:r>
      <w:r>
        <w:rPr>
          <w:rFonts w:ascii="Times New Roman" w:eastAsia="仿宋_GB2312" w:hAnsi="Times New Roman"/>
          <w:sz w:val="32"/>
          <w:szCs w:val="32"/>
        </w:rPr>
        <w:t>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使用单建人防工程</w:t>
      </w:r>
      <w:r>
        <w:rPr>
          <w:rFonts w:ascii="Times New Roman" w:eastAsia="仿宋_GB2312" w:hAnsi="Times New Roman"/>
          <w:sz w:val="32"/>
          <w:szCs w:val="32"/>
        </w:rPr>
        <w:t>所</w:t>
      </w:r>
      <w:r>
        <w:rPr>
          <w:rFonts w:ascii="Times New Roman" w:eastAsia="仿宋_GB2312" w:hAnsi="Times New Roman"/>
          <w:sz w:val="32"/>
          <w:szCs w:val="32"/>
        </w:rPr>
        <w:t>形成的收入，按照政府非税收入管理的规定，全额缴入财政，实行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收支两条线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管理。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第十四条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经双方协商达成一致意见，租赁方在租赁使用单建人防工程期间应购买相应金额的保证金，并出具银行保函。</w:t>
      </w:r>
    </w:p>
    <w:p w:rsidR="00000000" w:rsidRDefault="00E67CFE">
      <w:pPr>
        <w:pStyle w:val="20"/>
        <w:spacing w:line="580" w:lineRule="exact"/>
        <w:ind w:leftChars="0" w:left="0" w:firstLine="64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第十五条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租赁使用单建人防工程，租赁方应提交《人防工程维护管理和安全使用承诺书》（附件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）。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</w:t>
      </w:r>
      <w:r>
        <w:rPr>
          <w:rFonts w:ascii="Times New Roman" w:eastAsia="仿宋_GB2312" w:hAnsi="Times New Roman"/>
          <w:sz w:val="32"/>
          <w:szCs w:val="32"/>
        </w:rPr>
        <w:t>十六</w:t>
      </w:r>
      <w:r>
        <w:rPr>
          <w:rFonts w:ascii="Times New Roman" w:eastAsia="仿宋_GB2312" w:hAnsi="Times New Roman"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单建人防工程</w:t>
      </w:r>
      <w:r>
        <w:rPr>
          <w:rFonts w:ascii="Times New Roman" w:eastAsia="仿宋_GB2312" w:hAnsi="Times New Roman"/>
          <w:sz w:val="32"/>
          <w:szCs w:val="32"/>
        </w:rPr>
        <w:t>租赁期限一般不超过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确需超过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年的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每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年一个档期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分期分档确定租赁价格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最长不得超过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年。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</w:t>
      </w:r>
      <w:r>
        <w:rPr>
          <w:rFonts w:ascii="Times New Roman" w:eastAsia="仿宋_GB2312" w:hAnsi="Times New Roman"/>
          <w:sz w:val="32"/>
          <w:szCs w:val="32"/>
        </w:rPr>
        <w:t>十七</w:t>
      </w:r>
      <w:r>
        <w:rPr>
          <w:rFonts w:ascii="Times New Roman" w:eastAsia="仿宋_GB2312" w:hAnsi="Times New Roman"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租赁合同正式签订后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个工作日内将合同复印件</w:t>
      </w:r>
      <w:r>
        <w:rPr>
          <w:rFonts w:ascii="Times New Roman" w:eastAsia="仿宋_GB2312" w:hAnsi="Times New Roman"/>
          <w:sz w:val="32"/>
          <w:szCs w:val="32"/>
        </w:rPr>
        <w:t>、资产交易结果通知</w:t>
      </w:r>
      <w:r>
        <w:rPr>
          <w:rFonts w:ascii="Times New Roman" w:eastAsia="仿宋_GB2312" w:hAnsi="Times New Roman"/>
          <w:sz w:val="32"/>
          <w:szCs w:val="32"/>
        </w:rPr>
        <w:t>等相关资料报</w:t>
      </w:r>
      <w:r>
        <w:rPr>
          <w:rFonts w:ascii="Times New Roman" w:eastAsia="仿宋_GB2312" w:hAnsi="Times New Roman"/>
          <w:sz w:val="32"/>
          <w:szCs w:val="32"/>
        </w:rPr>
        <w:t>办档案室</w:t>
      </w:r>
      <w:r>
        <w:rPr>
          <w:rFonts w:ascii="Times New Roman" w:eastAsia="仿宋_GB2312" w:hAnsi="Times New Roman"/>
          <w:sz w:val="32"/>
          <w:szCs w:val="32"/>
        </w:rPr>
        <w:t>备案。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第十八条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已对外租赁</w:t>
      </w:r>
      <w:r>
        <w:rPr>
          <w:rFonts w:ascii="Times New Roman" w:eastAsia="仿宋_GB2312" w:hAnsi="Times New Roman"/>
          <w:sz w:val="32"/>
          <w:szCs w:val="32"/>
        </w:rPr>
        <w:t>单建人防工程</w:t>
      </w:r>
      <w:r>
        <w:rPr>
          <w:rFonts w:ascii="Times New Roman" w:eastAsia="仿宋_GB2312" w:hAnsi="Times New Roman"/>
          <w:sz w:val="32"/>
          <w:szCs w:val="32"/>
        </w:rPr>
        <w:t>应当</w:t>
      </w:r>
      <w:r>
        <w:rPr>
          <w:rFonts w:ascii="Times New Roman" w:eastAsia="仿宋_GB2312" w:hAnsi="Times New Roman"/>
          <w:sz w:val="32"/>
          <w:szCs w:val="32"/>
        </w:rPr>
        <w:t>按规定</w:t>
      </w:r>
      <w:r>
        <w:rPr>
          <w:rFonts w:ascii="Times New Roman" w:eastAsia="仿宋_GB2312" w:hAnsi="Times New Roman"/>
          <w:sz w:val="32"/>
          <w:szCs w:val="32"/>
        </w:rPr>
        <w:t>进行后期监管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监管的内容包括</w:t>
      </w:r>
      <w:r>
        <w:rPr>
          <w:rFonts w:ascii="Times New Roman" w:eastAsia="仿宋_GB2312" w:hAnsi="Times New Roman"/>
          <w:sz w:val="32"/>
          <w:szCs w:val="32"/>
        </w:rPr>
        <w:t>: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</w:t>
      </w:r>
      <w:r>
        <w:rPr>
          <w:rFonts w:ascii="Times New Roman" w:eastAsia="仿宋_GB2312" w:hAnsi="Times New Roman"/>
          <w:sz w:val="32"/>
          <w:szCs w:val="32"/>
        </w:rPr>
        <w:t>租赁合同的履行情况</w:t>
      </w:r>
      <w:r>
        <w:rPr>
          <w:rFonts w:ascii="Times New Roman" w:eastAsia="仿宋_GB2312" w:hAnsi="Times New Roman"/>
          <w:sz w:val="32"/>
          <w:szCs w:val="32"/>
        </w:rPr>
        <w:t>;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</w:t>
      </w:r>
      <w:r>
        <w:rPr>
          <w:rFonts w:ascii="Times New Roman" w:eastAsia="仿宋_GB2312" w:hAnsi="Times New Roman"/>
          <w:sz w:val="32"/>
          <w:szCs w:val="32"/>
        </w:rPr>
        <w:t>租赁收入的收缴情况</w:t>
      </w:r>
      <w:r>
        <w:rPr>
          <w:rFonts w:ascii="Times New Roman" w:eastAsia="仿宋_GB2312" w:hAnsi="Times New Roman"/>
          <w:sz w:val="32"/>
          <w:szCs w:val="32"/>
        </w:rPr>
        <w:t>;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</w:t>
      </w:r>
      <w:r>
        <w:rPr>
          <w:rFonts w:ascii="Times New Roman" w:eastAsia="仿宋_GB2312" w:hAnsi="Times New Roman"/>
          <w:sz w:val="32"/>
          <w:szCs w:val="32"/>
        </w:rPr>
        <w:t>其他相关事项。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</w:t>
      </w:r>
      <w:r>
        <w:rPr>
          <w:rFonts w:ascii="Times New Roman" w:eastAsia="仿宋_GB2312" w:hAnsi="Times New Roman"/>
          <w:sz w:val="32"/>
          <w:szCs w:val="32"/>
        </w:rPr>
        <w:t>十九</w:t>
      </w:r>
      <w:r>
        <w:rPr>
          <w:rFonts w:ascii="Times New Roman" w:eastAsia="仿宋_GB2312" w:hAnsi="Times New Roman"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经批准对外租赁单建人防工程的水费、电费、电话费、电视收视费、互联网费、供暖费、燃气费、物业管理费、保险费、日常运行维护费等各种费用全部由承租方承担。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</w:t>
      </w:r>
      <w:r>
        <w:rPr>
          <w:rFonts w:ascii="Times New Roman" w:eastAsia="仿宋_GB2312" w:hAnsi="Times New Roman"/>
          <w:sz w:val="32"/>
          <w:szCs w:val="32"/>
        </w:rPr>
        <w:t>二十</w:t>
      </w:r>
      <w:r>
        <w:rPr>
          <w:rFonts w:ascii="Times New Roman" w:eastAsia="仿宋_GB2312" w:hAnsi="Times New Roman"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承租人应在每个承租期开始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个工作日</w:t>
      </w:r>
      <w:r>
        <w:rPr>
          <w:rFonts w:ascii="Times New Roman" w:eastAsia="仿宋_GB2312" w:hAnsi="Times New Roman"/>
          <w:sz w:val="32"/>
          <w:szCs w:val="32"/>
        </w:rPr>
        <w:t>前足额支付租金。</w:t>
      </w:r>
      <w:r>
        <w:rPr>
          <w:rFonts w:ascii="Times New Roman" w:eastAsia="仿宋_GB2312" w:hAnsi="Times New Roman"/>
          <w:sz w:val="32"/>
          <w:szCs w:val="32"/>
        </w:rPr>
        <w:t>租金到期前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个工作日前应通知承租单位缴纳。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</w:t>
      </w:r>
      <w:r>
        <w:rPr>
          <w:rFonts w:ascii="Times New Roman" w:eastAsia="仿宋_GB2312" w:hAnsi="Times New Roman"/>
          <w:sz w:val="32"/>
          <w:szCs w:val="32"/>
        </w:rPr>
        <w:t>二十一</w:t>
      </w:r>
      <w:r>
        <w:rPr>
          <w:rFonts w:ascii="Times New Roman" w:eastAsia="仿宋_GB2312" w:hAnsi="Times New Roman"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租赁合同到期</w:t>
      </w:r>
      <w:r>
        <w:rPr>
          <w:rFonts w:ascii="Times New Roman" w:eastAsia="仿宋_GB2312" w:hAnsi="Times New Roman"/>
          <w:sz w:val="32"/>
          <w:szCs w:val="32"/>
        </w:rPr>
        <w:t>前</w:t>
      </w:r>
      <w:r>
        <w:rPr>
          <w:rFonts w:ascii="Times New Roman" w:eastAsia="仿宋_GB2312" w:hAnsi="Times New Roman"/>
          <w:sz w:val="32"/>
          <w:szCs w:val="32"/>
        </w:rPr>
        <w:t>90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仍可对外租赁的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lastRenderedPageBreak/>
        <w:t>当按规定重新报批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</w:t>
      </w:r>
      <w:r>
        <w:rPr>
          <w:rFonts w:ascii="Times New Roman" w:eastAsia="仿宋_GB2312" w:hAnsi="Times New Roman"/>
          <w:sz w:val="32"/>
          <w:szCs w:val="32"/>
        </w:rPr>
        <w:t>二十二</w:t>
      </w:r>
      <w:r>
        <w:rPr>
          <w:rFonts w:ascii="Times New Roman" w:eastAsia="仿宋_GB2312" w:hAnsi="Times New Roman"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单建人防工程</w:t>
      </w:r>
      <w:r>
        <w:rPr>
          <w:rFonts w:ascii="Times New Roman" w:eastAsia="仿宋_GB2312" w:hAnsi="Times New Roman"/>
          <w:sz w:val="32"/>
          <w:szCs w:val="32"/>
        </w:rPr>
        <w:t>按照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谁使用、谁维护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的原则进行维护和管理；保障</w:t>
      </w:r>
      <w:r>
        <w:rPr>
          <w:rFonts w:ascii="Times New Roman" w:eastAsia="仿宋_GB2312" w:hAnsi="Times New Roman"/>
          <w:sz w:val="32"/>
          <w:szCs w:val="32"/>
        </w:rPr>
        <w:t>单建</w:t>
      </w:r>
      <w:r>
        <w:rPr>
          <w:rFonts w:ascii="Times New Roman" w:eastAsia="仿宋_GB2312" w:hAnsi="Times New Roman"/>
          <w:sz w:val="32"/>
          <w:szCs w:val="32"/>
        </w:rPr>
        <w:t>人防</w:t>
      </w:r>
      <w:r>
        <w:rPr>
          <w:rFonts w:ascii="Times New Roman" w:eastAsia="仿宋_GB2312" w:hAnsi="Times New Roman"/>
          <w:sz w:val="32"/>
          <w:szCs w:val="32"/>
        </w:rPr>
        <w:t>工程</w:t>
      </w:r>
      <w:r>
        <w:rPr>
          <w:rFonts w:ascii="Times New Roman" w:eastAsia="仿宋_GB2312" w:hAnsi="Times New Roman"/>
          <w:sz w:val="32"/>
          <w:szCs w:val="32"/>
        </w:rPr>
        <w:t>的安全完整，防止人防国有战备固定资产使用中的不当损失和浪费。</w:t>
      </w:r>
    </w:p>
    <w:p w:rsidR="00000000" w:rsidRDefault="00E67CFE">
      <w:pPr>
        <w:pStyle w:val="20"/>
        <w:spacing w:line="580" w:lineRule="exact"/>
        <w:ind w:leftChars="0" w:left="0" w:firstLine="64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第二十三条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单建人防工程使用安全管理，应按照省安委会《关于印发重点行业领域重大安全风险隐患清单的通知》（鲁安发〔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号）（附件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）、省国动办《山东省单建人民防空工程安全生产事故隐患排查治理办法》（鲁国动办发〔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号）要求，有序开展单建人防工程隐患排查治理工作。</w:t>
      </w:r>
    </w:p>
    <w:p w:rsidR="00000000" w:rsidRDefault="00E67CF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第三十四条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单建人防工程应按照《山东省人民防空工程管理办法》（省政府令第</w:t>
      </w:r>
      <w:r>
        <w:rPr>
          <w:rFonts w:ascii="Times New Roman" w:eastAsia="仿宋_GB2312" w:hAnsi="Times New Roman"/>
          <w:sz w:val="32"/>
          <w:szCs w:val="32"/>
        </w:rPr>
        <w:t>332</w:t>
      </w:r>
      <w:r>
        <w:rPr>
          <w:rFonts w:ascii="Times New Roman" w:eastAsia="仿宋_GB2312" w:hAnsi="Times New Roman"/>
          <w:sz w:val="32"/>
          <w:szCs w:val="32"/>
        </w:rPr>
        <w:t>号）、《山东省</w:t>
      </w:r>
      <w:r>
        <w:rPr>
          <w:rFonts w:ascii="Times New Roman" w:eastAsia="仿宋_GB2312" w:hAnsi="Times New Roman"/>
          <w:sz w:val="32"/>
          <w:szCs w:val="32"/>
        </w:rPr>
        <w:t>人民防空工程维护管理办法》（鲁防发〔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号）进行维护管理，建立人防工程巡查及督导检查档案材料，动态更新。</w:t>
      </w:r>
    </w:p>
    <w:p w:rsidR="00000000" w:rsidRDefault="00E67CFE">
      <w:pPr>
        <w:pStyle w:val="a0"/>
        <w:rPr>
          <w:rFonts w:ascii="Times New Roman" w:eastAsia="仿宋_GB2312" w:hAnsi="Times New Roman" w:cs="Times New Roman" w:hint="eastAsia"/>
          <w:sz w:val="32"/>
          <w:szCs w:val="32"/>
          <w:lang w:val="en-US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sz w:val="32"/>
          <w:szCs w:val="32"/>
        </w:rPr>
        <w:t>二十三</w:t>
      </w:r>
      <w:r>
        <w:rPr>
          <w:rFonts w:ascii="Times New Roman" w:eastAsia="仿宋_GB2312" w:hAnsi="Times New Roman" w:cs="Times New Roman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对</w:t>
      </w:r>
      <w:r>
        <w:rPr>
          <w:rFonts w:ascii="Times New Roman" w:eastAsia="仿宋_GB2312" w:hAnsi="Times New Roman" w:cs="Times New Roman"/>
          <w:sz w:val="32"/>
          <w:szCs w:val="32"/>
        </w:rPr>
        <w:t>市本级单建</w:t>
      </w:r>
      <w:r>
        <w:rPr>
          <w:rFonts w:ascii="Times New Roman" w:eastAsia="仿宋_GB2312" w:hAnsi="Times New Roman" w:cs="Times New Roman"/>
          <w:sz w:val="32"/>
          <w:szCs w:val="32"/>
        </w:rPr>
        <w:t>人防</w:t>
      </w:r>
      <w:r>
        <w:rPr>
          <w:rFonts w:ascii="Times New Roman" w:eastAsia="仿宋_GB2312" w:hAnsi="Times New Roman" w:cs="Times New Roman"/>
          <w:sz w:val="32"/>
          <w:szCs w:val="32"/>
        </w:rPr>
        <w:t>工程</w:t>
      </w:r>
      <w:r>
        <w:rPr>
          <w:rFonts w:ascii="Times New Roman" w:eastAsia="仿宋_GB2312" w:hAnsi="Times New Roman" w:cs="Times New Roman"/>
          <w:sz w:val="32"/>
          <w:szCs w:val="32"/>
        </w:rPr>
        <w:t>应当定期清查盘点，做到家底清楚，账、卡、实相符，防止国有资产流失。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 xml:space="preserve">   </w:t>
      </w:r>
    </w:p>
    <w:p w:rsidR="00000000" w:rsidRDefault="00E67CFE">
      <w:pPr>
        <w:pStyle w:val="Style7"/>
        <w:rPr>
          <w:rFonts w:ascii="Times New Roman" w:eastAsia="仿宋_GB2312" w:hAnsi="Times New Roman" w:hint="eastAsia"/>
          <w:sz w:val="32"/>
          <w:szCs w:val="32"/>
        </w:rPr>
      </w:pPr>
    </w:p>
    <w:p w:rsidR="00000000" w:rsidRDefault="00E67CFE">
      <w:pPr>
        <w:rPr>
          <w:rFonts w:ascii="Times New Roman" w:eastAsia="仿宋_GB2312" w:hAnsi="Times New Roman" w:hint="eastAsia"/>
          <w:sz w:val="32"/>
          <w:szCs w:val="32"/>
        </w:rPr>
      </w:pPr>
    </w:p>
    <w:p w:rsidR="00000000" w:rsidRDefault="00E67CFE">
      <w:pPr>
        <w:pStyle w:val="a0"/>
        <w:rPr>
          <w:rFonts w:ascii="Times New Roman" w:eastAsia="仿宋_GB2312" w:hAnsi="Times New Roman" w:cs="Times New Roman" w:hint="eastAsia"/>
          <w:sz w:val="32"/>
          <w:szCs w:val="32"/>
          <w:lang w:val="en-US"/>
        </w:rPr>
      </w:pPr>
    </w:p>
    <w:p w:rsidR="00000000" w:rsidRDefault="00E67CFE">
      <w:pPr>
        <w:pStyle w:val="Style7"/>
        <w:rPr>
          <w:rFonts w:ascii="Times New Roman" w:eastAsia="仿宋_GB2312" w:hAnsi="Times New Roman" w:hint="eastAsia"/>
          <w:sz w:val="32"/>
          <w:szCs w:val="32"/>
        </w:rPr>
      </w:pPr>
    </w:p>
    <w:p w:rsidR="00000000" w:rsidRDefault="00E67CFE">
      <w:pPr>
        <w:rPr>
          <w:rFonts w:ascii="Times New Roman" w:eastAsia="仿宋_GB2312" w:hAnsi="Times New Roman" w:hint="eastAsia"/>
          <w:sz w:val="32"/>
          <w:szCs w:val="32"/>
        </w:rPr>
      </w:pPr>
    </w:p>
    <w:p w:rsidR="00000000" w:rsidRDefault="00E67CFE">
      <w:pPr>
        <w:pStyle w:val="a0"/>
        <w:rPr>
          <w:rFonts w:ascii="Times New Roman" w:eastAsia="仿宋_GB2312" w:hAnsi="Times New Roman" w:cs="Times New Roman" w:hint="eastAsia"/>
          <w:sz w:val="32"/>
          <w:szCs w:val="32"/>
          <w:lang w:val="en-US"/>
        </w:rPr>
      </w:pPr>
    </w:p>
    <w:p w:rsidR="00000000" w:rsidRDefault="00E67CFE">
      <w:pPr>
        <w:pStyle w:val="20"/>
        <w:spacing w:line="580" w:lineRule="exact"/>
        <w:ind w:leftChars="0" w:left="0" w:firstLineChars="0" w:firstLine="0"/>
        <w:rPr>
          <w:rFonts w:ascii="Times New Roman" w:eastAsia="仿宋_GB2312" w:hAnsi="Times New Roman"/>
          <w:sz w:val="32"/>
          <w:szCs w:val="32"/>
        </w:rPr>
      </w:pPr>
    </w:p>
    <w:sectPr w:rsidR="00000000">
      <w:footerReference w:type="default" r:id="rId6"/>
      <w:pgSz w:w="11906" w:h="16838"/>
      <w:pgMar w:top="1894" w:right="1576" w:bottom="1723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7CFE">
      <w:r>
        <w:separator/>
      </w:r>
    </w:p>
  </w:endnote>
  <w:endnote w:type="continuationSeparator" w:id="0">
    <w:p w:rsidR="00000000" w:rsidRDefault="00E6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67CF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6865" cy="139700"/>
              <wp:effectExtent l="0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67CFE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4.95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" filled="f" stroked="f">
              <v:textbox style="mso-fit-shape-to-text:t" inset="0,0,0,0">
                <w:txbxContent>
                  <w:p w:rsidR="00000000" w:rsidRDefault="00E67CFE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67CFE">
      <w:r>
        <w:separator/>
      </w:r>
    </w:p>
  </w:footnote>
  <w:footnote w:type="continuationSeparator" w:id="0">
    <w:p w:rsidR="00000000" w:rsidRDefault="00E67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420"/>
  <w:drawingGridVerticalSpacing w:val="156"/>
  <w:noPunctuationKerning/>
  <w:characterSpacingControl w:val="compressPunctuation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FE"/>
    <w:rsid w:val="07FB2DE4"/>
    <w:rsid w:val="1F4E204D"/>
    <w:rsid w:val="2BBF00EB"/>
    <w:rsid w:val="33ECFB5C"/>
    <w:rsid w:val="3DFBC9F4"/>
    <w:rsid w:val="3EAB0813"/>
    <w:rsid w:val="3FDF5840"/>
    <w:rsid w:val="4EBF0D15"/>
    <w:rsid w:val="4F9E3729"/>
    <w:rsid w:val="5DD53C83"/>
    <w:rsid w:val="5DFD7627"/>
    <w:rsid w:val="6F9FC50C"/>
    <w:rsid w:val="777FFD82"/>
    <w:rsid w:val="77FF93AA"/>
    <w:rsid w:val="7BF7BF1E"/>
    <w:rsid w:val="7D5F5096"/>
    <w:rsid w:val="7EDE12B8"/>
    <w:rsid w:val="7EEF757C"/>
    <w:rsid w:val="7EF73EF6"/>
    <w:rsid w:val="7FB7D8E8"/>
    <w:rsid w:val="7FFBDEF1"/>
    <w:rsid w:val="7FFF4AE7"/>
    <w:rsid w:val="AFAC81C7"/>
    <w:rsid w:val="BBFFC34F"/>
    <w:rsid w:val="BDFC8232"/>
    <w:rsid w:val="BFD7153F"/>
    <w:rsid w:val="CF5EE2B6"/>
    <w:rsid w:val="DBFF65E4"/>
    <w:rsid w:val="DE8F69DE"/>
    <w:rsid w:val="E7E6D81E"/>
    <w:rsid w:val="EDA6A855"/>
    <w:rsid w:val="EF9E4801"/>
    <w:rsid w:val="F3CB166D"/>
    <w:rsid w:val="F7728774"/>
    <w:rsid w:val="F776F15D"/>
    <w:rsid w:val="F7D64346"/>
    <w:rsid w:val="F7FF06C8"/>
    <w:rsid w:val="FB8F3653"/>
    <w:rsid w:val="FCE489E3"/>
    <w:rsid w:val="FDDFD3D9"/>
    <w:rsid w:val="FDFEA314"/>
    <w:rsid w:val="FFB128BE"/>
    <w:rsid w:val="FFB35F07"/>
    <w:rsid w:val="FFBDD57C"/>
    <w:rsid w:val="FFF7B552"/>
    <w:rsid w:val="00E6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5:chartTrackingRefBased/>
  <w15:docId w15:val="{C60CD690-0980-45CD-84F8-93365A98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jc w:val="left"/>
      <w:outlineLvl w:val="2"/>
    </w:pPr>
    <w:rPr>
      <w:rFonts w:ascii="宋体" w:hAnsi="宋体" w:hint="eastAsia"/>
      <w:kern w:val="0"/>
      <w:szCs w:val="27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7"/>
    <w:qFormat/>
    <w:rPr>
      <w:rFonts w:ascii="宋体" w:hAnsi="宋体" w:cs="宋体"/>
      <w:sz w:val="24"/>
      <w:lang w:val="zh-CN" w:bidi="zh-CN"/>
    </w:rPr>
  </w:style>
  <w:style w:type="paragraph" w:customStyle="1" w:styleId="Style7">
    <w:name w:val="_Style 7"/>
    <w:basedOn w:val="a"/>
    <w:next w:val="a"/>
    <w:uiPriority w:val="29"/>
    <w:qFormat/>
    <w:rPr>
      <w:i/>
      <w:iCs/>
      <w:color w:val="000000"/>
    </w:rPr>
  </w:style>
  <w:style w:type="paragraph" w:styleId="a4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2">
    <w:name w:val="Body Text Indent 2"/>
    <w:next w:val="z"/>
    <w:qFormat/>
    <w:pPr>
      <w:widowControl w:val="0"/>
      <w:ind w:right="1" w:firstLine="720"/>
      <w:jc w:val="both"/>
    </w:pPr>
    <w:rPr>
      <w:kern w:val="2"/>
      <w:sz w:val="21"/>
      <w:szCs w:val="24"/>
    </w:rPr>
  </w:style>
  <w:style w:type="paragraph" w:customStyle="1" w:styleId="z">
    <w:name w:val="z正文"/>
    <w:qFormat/>
    <w:pPr>
      <w:widowControl w:val="0"/>
      <w:snapToGrid w:val="0"/>
      <w:spacing w:line="360" w:lineRule="auto"/>
      <w:jc w:val="both"/>
    </w:pPr>
    <w:rPr>
      <w:rFonts w:ascii="宋体" w:eastAsia="仿宋_GB2312" w:hAnsi="宋体"/>
      <w:kern w:val="2"/>
      <w:sz w:val="24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First Indent"/>
    <w:basedOn w:val="a0"/>
    <w:next w:val="2"/>
    <w:qFormat/>
    <w:pPr>
      <w:ind w:firstLineChars="100" w:firstLine="420"/>
    </w:pPr>
  </w:style>
  <w:style w:type="paragraph" w:styleId="20">
    <w:name w:val="Body Text First Indent 2"/>
    <w:basedOn w:val="a4"/>
    <w:next w:val="a8"/>
    <w:qFormat/>
    <w:pPr>
      <w:spacing w:after="0"/>
      <w:ind w:firstLineChars="200" w:firstLine="420"/>
    </w:p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Pr>
      <w:b/>
    </w:rPr>
  </w:style>
  <w:style w:type="character" w:customStyle="1" w:styleId="bjh-p">
    <w:name w:val="bjh-p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1788</Words>
  <Characters>122</Characters>
  <Application>Microsoft Office Word</Application>
  <DocSecurity>0</DocSecurity>
  <Lines>1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日照市国防动员办公室</dc:title>
  <dc:subject/>
  <dc:creator>Administrator</dc:creator>
  <cp:keywords/>
  <cp:lastModifiedBy>lscq</cp:lastModifiedBy>
  <cp:revision>2</cp:revision>
  <cp:lastPrinted>2024-07-06T16:55:00Z</cp:lastPrinted>
  <dcterms:created xsi:type="dcterms:W3CDTF">2025-01-22T09:46:00Z</dcterms:created>
  <dcterms:modified xsi:type="dcterms:W3CDTF">2025-01-22T09:46:00Z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