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91254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00000" w:rsidRDefault="00791254">
      <w:pPr>
        <w:overflowPunct w:val="0"/>
        <w:topLinePunct/>
        <w:spacing w:line="52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000000" w:rsidRDefault="00791254">
      <w:pPr>
        <w:overflowPunct w:val="0"/>
        <w:topLinePunct/>
        <w:spacing w:line="52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人防工程使用负面清单</w:t>
      </w:r>
    </w:p>
    <w:p w:rsidR="00000000" w:rsidRDefault="00791254">
      <w:pPr>
        <w:pStyle w:val="3"/>
        <w:spacing w:line="520" w:lineRule="exact"/>
        <w:rPr>
          <w:rFonts w:ascii="Times New Roman" w:hAnsi="Times New Roman" w:hint="default"/>
        </w:rPr>
      </w:pPr>
    </w:p>
    <w:tbl>
      <w:tblPr>
        <w:tblStyle w:val="a6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456"/>
        <w:gridCol w:w="4334"/>
      </w:tblGrid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color w:val="191919"/>
                <w:kern w:val="0"/>
                <w:sz w:val="30"/>
                <w:szCs w:val="30"/>
                <w:lang w:bidi="ar"/>
              </w:rPr>
              <w:t>具体内容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color w:val="191919"/>
                <w:kern w:val="0"/>
                <w:sz w:val="30"/>
                <w:szCs w:val="30"/>
                <w:lang w:bidi="ar"/>
              </w:rPr>
              <w:t>依据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不应在人防工程内设置宿舍居室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《宿舍、建筑建设项目规范》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GB 55025-2022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托儿所、幼儿园的儿童用房不应设置在人防工程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《建筑设计防火规范》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GB50016-2014</w:t>
            </w:r>
          </w:p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《托儿所、幼儿园建筑设计规范》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JGJ39-2016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（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2019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年版）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体育类培训机构培训场地不得使用人防工程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《山东省体育类校外培训机构设置规定（暂行）》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文化艺术类培训机构培训场所不得使用人防工程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《山东省文化艺术类校外培训机构设置规定（暂行）》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科技类培训机构培训场所不得使用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人防工程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《山东省科技类校外培训机构设置规定（暂行）》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不得在人防工程内设置医院和疗养院的住院部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《建筑设计防火规范》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GB50016-2014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不得在人防工程内开设游乐厅、网吧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hyperlink r:id="rId6" w:tgtFrame="/home/user/文档\x/_blank" w:history="1">
              <w:r>
                <w:rPr>
                  <w:rFonts w:ascii="Times New Roman" w:eastAsia="仿宋_GB2312" w:hAnsi="Times New Roman"/>
                  <w:color w:val="191919"/>
                  <w:kern w:val="0"/>
                  <w:sz w:val="30"/>
                  <w:szCs w:val="30"/>
                  <w:lang w:bidi="ar"/>
                </w:rPr>
                <w:t>《人民防空工程设计防火规范》</w:t>
              </w:r>
              <w:r>
                <w:rPr>
                  <w:rFonts w:ascii="Times New Roman" w:eastAsia="仿宋_GB2312" w:hAnsi="Times New Roman"/>
                  <w:color w:val="191919"/>
                  <w:kern w:val="0"/>
                  <w:sz w:val="30"/>
                  <w:szCs w:val="30"/>
                  <w:lang w:bidi="ar"/>
                </w:rPr>
                <w:t>GB 50098-2009</w:t>
              </w:r>
            </w:hyperlink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不得在人防工程专门开设儿童活动场所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《建筑设计防火规范》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GB50016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-2014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不得利用人防工程地下二层及其以下设置娱乐场所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《娱乐场所管理办法》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不得在居民住宅区人防工程内设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lastRenderedPageBreak/>
              <w:t>置娱乐场所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lastRenderedPageBreak/>
              <w:t>《娱乐场所管理办法》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lastRenderedPageBreak/>
              <w:t>禁止在人防工程生产、经营、储存、使用危险化学品、液化石油气、烟花爆竹等危险物品</w:t>
            </w: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《人民防空法》《常用危险化学品贮存通则》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GB156.3-1995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、《城镇燃气设计规范》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GB50028-2006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、《液化石油气供应工程设计规范》</w:t>
            </w: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GB51142-2015</w:t>
            </w:r>
          </w:p>
        </w:tc>
      </w:tr>
      <w:tr w:rsidR="00000000">
        <w:tc>
          <w:tcPr>
            <w:tcW w:w="4456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  <w:t>禁止在人防工程设置修理车间、喷漆间、充电间（包含电动自行车、电瓶车的充电）、乙炔间</w:t>
            </w:r>
          </w:p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334" w:type="dxa"/>
          </w:tcPr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hyperlink r:id="rId7" w:tgtFrame="/home/user/文档\x/_blank" w:history="1">
              <w:r>
                <w:rPr>
                  <w:rFonts w:ascii="Times New Roman" w:eastAsia="仿宋_GB2312" w:hAnsi="Times New Roman"/>
                  <w:color w:val="191919"/>
                  <w:kern w:val="0"/>
                  <w:sz w:val="30"/>
                  <w:szCs w:val="30"/>
                  <w:lang w:bidi="ar"/>
                </w:rPr>
                <w:t>《汽车库、修车库、停车场设计防火规范》</w:t>
              </w:r>
              <w:r>
                <w:rPr>
                  <w:rFonts w:ascii="Times New Roman" w:eastAsia="仿宋_GB2312" w:hAnsi="Times New Roman"/>
                  <w:color w:val="191919"/>
                  <w:kern w:val="0"/>
                  <w:sz w:val="30"/>
                  <w:szCs w:val="30"/>
                  <w:lang w:bidi="ar"/>
                </w:rPr>
                <w:t>GB50067-2014</w:t>
              </w:r>
            </w:hyperlink>
          </w:p>
          <w:p w:rsidR="00000000" w:rsidRDefault="00791254">
            <w:pPr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</w:p>
        </w:tc>
      </w:tr>
      <w:tr w:rsidR="00000000">
        <w:tc>
          <w:tcPr>
            <w:tcW w:w="8790" w:type="dxa"/>
            <w:gridSpan w:val="2"/>
          </w:tcPr>
          <w:p w:rsidR="00000000" w:rsidRDefault="00791254">
            <w:pPr>
              <w:overflowPunct w:val="0"/>
              <w:topLinePunct/>
              <w:spacing w:line="520" w:lineRule="exact"/>
              <w:rPr>
                <w:rFonts w:ascii="Times New Roman" w:eastAsia="仿宋_GB2312" w:hAnsi="Times New Roman"/>
                <w:color w:val="191919"/>
                <w:kern w:val="0"/>
                <w:sz w:val="30"/>
                <w:szCs w:val="30"/>
                <w:lang w:bidi="ar"/>
              </w:rPr>
            </w:pPr>
            <w:r>
              <w:rPr>
                <w:rStyle w:val="bjh-p"/>
                <w:rFonts w:ascii="Times New Roman" w:eastAsia="仿宋_GB2312" w:hAnsi="Times New Roman"/>
                <w:spacing w:val="6"/>
                <w:sz w:val="30"/>
                <w:szCs w:val="30"/>
              </w:rPr>
              <w:t>负面清单中未列入事项，以有关部门的相关法律法规、规章制度、政策文件为准。</w:t>
            </w:r>
          </w:p>
        </w:tc>
      </w:tr>
    </w:tbl>
    <w:p w:rsidR="00000000" w:rsidRDefault="00791254"/>
    <w:sectPr w:rsidR="00000000">
      <w:footerReference w:type="default" r:id="rId8"/>
      <w:pgSz w:w="11906" w:h="16838"/>
      <w:pgMar w:top="1440" w:right="1800" w:bottom="1440" w:left="1800" w:header="851" w:footer="992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1254">
      <w:r>
        <w:separator/>
      </w:r>
    </w:p>
  </w:endnote>
  <w:endnote w:type="continuationSeparator" w:id="0">
    <w:p w:rsidR="00000000" w:rsidRDefault="0079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9125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91254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4.9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" filled="f" stroked="f">
              <v:textbox style="mso-fit-shape-to-text:t" inset="0,0,0,0">
                <w:txbxContent>
                  <w:p w:rsidR="00000000" w:rsidRDefault="00791254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1254">
      <w:r>
        <w:separator/>
      </w:r>
    </w:p>
  </w:footnote>
  <w:footnote w:type="continuationSeparator" w:id="0">
    <w:p w:rsidR="00000000" w:rsidRDefault="00791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DBF9B64"/>
    <w:rsid w:val="7D7B4649"/>
    <w:rsid w:val="EDBF9B64"/>
    <w:rsid w:val="007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D7136DD-472C-4ACC-952C-21D10D2B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jc w:val="left"/>
      <w:outlineLvl w:val="2"/>
    </w:pPr>
    <w:rPr>
      <w:rFonts w:ascii="宋体" w:hAnsi="宋体" w:hint="eastAsia"/>
      <w:kern w:val="0"/>
      <w:szCs w:val="27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7"/>
    <w:qFormat/>
    <w:rPr>
      <w:rFonts w:ascii="宋体" w:hAnsi="宋体" w:cs="宋体"/>
      <w:sz w:val="24"/>
      <w:lang w:val="zh-CN" w:bidi="zh-CN"/>
    </w:rPr>
  </w:style>
  <w:style w:type="paragraph" w:customStyle="1" w:styleId="Style7">
    <w:name w:val="_Style 7"/>
    <w:basedOn w:val="a"/>
    <w:next w:val="a"/>
    <w:uiPriority w:val="29"/>
    <w:qFormat/>
    <w:rPr>
      <w:i/>
      <w:iCs/>
      <w:color w:val="00000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jh-p">
    <w:name w:val="bjh-p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o.com/link?m=uak5km6F9C0V2iJD+wy4O3JawY22VksNqAy5QuO2zmF3k0aTQCNScGIcEZsecZ1lFpIkGDQNgh7ZNzJIiulCbf5k01NT7ToC4aXSobq3sjSjt5TGIQ29I4GNeomG66fVpRCxmUZP//jfpHTUrfHFLCN1Iy/tkQ6nROjYp4mdWQutwtfoHCFB9ErfDes8fs7TUA/iJWnASzSXEo2uCDFCaY1NzhiTF1tbO7iYedKgiXwu4648kmSmN+jXSihCWBU97cuFUgvLf1LtTSsgn3Jh/hYhpaZroKBkr6vmlURGdcXtfgVWtRm1oPh4zCeoQzqtBM3mWIw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.com/link?m=bWTxrLWMT+ifNo2qm5FkQ6UFS7OGQs6GLp1i10GyHgLxBbszQsC+5+7Ckt4iNcyRzOIHmov0ngK4HfD3GAs1g4RkgpavZU6usYFxNFziiABmkE7YBS3o9h6IOqPTL6bPx1pS47yudUbxpe7BHNLI9OGD3eNZJHz//bEj7kK/00wusWnOiKTfqFxadQfeiJnGNUg3aFDdNj86QguhKOmESxVRWiMaJHOaZzxOzSs3Ny9EaMhaKI7dsv9cguj8qO497UgyDucCVcjRga0AuCmddbAsIFy0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lscq</cp:lastModifiedBy>
  <cp:revision>2</cp:revision>
  <dcterms:created xsi:type="dcterms:W3CDTF">2025-01-22T09:47:00Z</dcterms:created>
  <dcterms:modified xsi:type="dcterms:W3CDTF">2025-01-22T09:47:00Z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